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B2A" w:rsidRDefault="00B62B2A" w:rsidP="00B62B2A">
      <w:pPr>
        <w:pStyle w:val="a3"/>
        <w:spacing w:before="0" w:beforeAutospacing="0" w:after="21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МІНІСТЕРСТВО ОСВІТИ І НАУКИ УКРАЇНИ</w:t>
      </w:r>
    </w:p>
    <w:p w:rsidR="00B62B2A" w:rsidRDefault="00B62B2A" w:rsidP="00B62B2A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1/9-413 від 27 липня 2017 року</w:t>
      </w:r>
    </w:p>
    <w:p w:rsidR="00B62B2A" w:rsidRDefault="00B62B2A" w:rsidP="00B62B2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Департаменти (управління) освіти і науки</w:t>
      </w:r>
      <w:r>
        <w:rPr>
          <w:rFonts w:ascii="Arial" w:hAnsi="Arial" w:cs="Arial"/>
          <w:color w:val="000000"/>
          <w:sz w:val="21"/>
          <w:szCs w:val="21"/>
        </w:rPr>
        <w:br/>
        <w:t>обласних, Київської міської державних адміністрацій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Інститути післядипломної педагогічної освіти</w:t>
      </w:r>
    </w:p>
    <w:p w:rsidR="00B62B2A" w:rsidRDefault="00B62B2A" w:rsidP="00B62B2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Про деякі питання щодо організації виховної роботи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у навчальних закладах у 2017/2018 навчальному році</w:t>
      </w:r>
    </w:p>
    <w:bookmarkEnd w:id="0"/>
    <w:p w:rsidR="00B62B2A" w:rsidRDefault="00B62B2A" w:rsidP="00B62B2A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Міністерство надсилає аналітичні матеріали щодо проблемних питань, які мають місце в дитячому середовищі.</w:t>
      </w:r>
    </w:p>
    <w:p w:rsidR="00B62B2A" w:rsidRDefault="00B62B2A" w:rsidP="00B62B2A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Зміст листа просимо довести до відома керівників органів управління освітою різного рівня, керівників та педагогічних працівників навчальних закладів для використання при плануванні виховної роботи з учнівськими колективами, враховуючи потенціал навчального закладу і залучаючи до освітнього процесу партнерів.</w:t>
      </w:r>
    </w:p>
    <w:p w:rsidR="00B62B2A" w:rsidRDefault="00B62B2A" w:rsidP="00B62B2A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Додаток : на 10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62B2A" w:rsidRDefault="00B62B2A" w:rsidP="00B62B2A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Заступник Міністра       Р. B.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Греба</w:t>
      </w:r>
      <w:proofErr w:type="spellEnd"/>
    </w:p>
    <w:p w:rsidR="00B62B2A" w:rsidRDefault="00B62B2A" w:rsidP="00B62B2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Додаток 1</w:t>
      </w:r>
      <w:r>
        <w:rPr>
          <w:rFonts w:ascii="Arial" w:hAnsi="Arial" w:cs="Arial"/>
          <w:color w:val="000000"/>
          <w:sz w:val="21"/>
          <w:szCs w:val="21"/>
        </w:rPr>
        <w:br/>
        <w:t xml:space="preserve">до листа Міністерства освіти і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Украіни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>від 27.07.2017 p. № 1/9-413</w:t>
      </w:r>
    </w:p>
    <w:p w:rsidR="00B62B2A" w:rsidRDefault="00B62B2A" w:rsidP="00B62B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Відповідно до Концепції реалізації державної політики у сфері реформування загальної середньої освіти «Нова українська школа» на період до 2029 року, яка схвалена розпорядженням Кабінету Міністрів України від 14 грудня 2016 р. </w:t>
      </w:r>
      <w:hyperlink r:id="rId4" w:tooltip="Концепція реалізації державної політики у сфері реформування загальної середньої освіти “Нова українська школа” на період до 2029 року" w:history="1"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№ 988-р</w:t>
        </w:r>
      </w:hyperlink>
      <w:r>
        <w:rPr>
          <w:rFonts w:ascii="Arial" w:hAnsi="Arial" w:cs="Arial"/>
          <w:color w:val="000000"/>
          <w:sz w:val="21"/>
          <w:szCs w:val="21"/>
        </w:rPr>
        <w:t>, навчальний заклад має впроваджувати демократичну культуру через вироблення відповідних процедур для захисту прав дитини і формування демократичних цінностей: захищати права дитини, стати місцем, безпечним для дитини, і йдеться не лише про фізичну безпеку, а й про атмосферу довіри і взаємоповаги, де немає насильства та дискримінації.</w:t>
      </w:r>
    </w:p>
    <w:p w:rsidR="00B62B2A" w:rsidRDefault="00B62B2A" w:rsidP="00B62B2A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За даними дослідження ЮНІСЕФ, проведеного в лютому 2017 року в усій Україні, 67 % дітей стикалися з випадками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булінгу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24% українських школярів піддавались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булінгу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За наслідками війни та окупації територій маємо велику кількість внутрішньо переміщених сімей, а також дітей із посттравматичним синдромом. Сором’язливі та закриті до спілкування діти із сімей переселенців стають жертвами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булінгу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2 рази частіше за інших, тому що вони вимушені навчатись у малознайомих місцях, заводити друзів та інтегруватися заново у нове шкільне середовище, а тому потреба поширення взаємоповаги та позитивного ставлення один до одного серед дітей е дуже важливою.</w:t>
      </w:r>
    </w:p>
    <w:p w:rsidR="00B62B2A" w:rsidRDefault="00B62B2A" w:rsidP="00B62B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 метою навчання дітей і підлітків життєвих навичок (психосоціальним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компетентностям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), які сприяють соціальній злагодженості, полегшенню адаптації до нових життєвих обставин, відновленню психологічної рівноваги, розбудові здорових стосунків Міністерство рекомендувало (лист від 28.12.2016 № 1/9-981) використовувати в навчально-виховному процесі навчально-методичний посібник «Розбудова миру, профілактика і вирішення конфлікту з використанням медіації: соціально-педагогічний аспект» та спецкурс курсів підвищення фахової кваліфікації педагогічних працівників «Базові навички медіатора в навчальному закладі. Забезпечення участі жінок і дітей у вирішенні конфліктів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миробудуванні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(схвалено для використання Науково-методичною комісією з проблем виховання дітей та учнівської молоді МОН пр. № 3 від 04.10.2016). Електронна версія зазначених матеріалів знаходиться за посиланням: </w:t>
      </w:r>
      <w:hyperlink r:id="rId5" w:history="1"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http://www.la-strada.org.ua/ucp_mod_library_showcategory_65.html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B62B2A" w:rsidRDefault="00B62B2A" w:rsidP="00B62B2A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перше півріччя 2017 року Національна дитяча «гаряча» лінія прийняла 20 851 дзвінок від маленьких, юних та дорослих українців. Аналіз дзвінків свідчить, що переважна більшість дітей (26,5%) телефонують із питаннями щодо інформування про свої права, а також - що робити та куди звертатися, якщо дитячі права порушуються. Так само, топовими темами для дітей залишаються запити щодо психологічного здоров'я (самотність, страхи, тривога, невпевненість в собі та своїх діях тощо) - 24,7%; питання статевого виховання - 11,7%. Значно зросла кількість дзвінків (1 543 звернення) щодо насильства та жорстокого поводження з дітьми.</w:t>
      </w:r>
    </w:p>
    <w:p w:rsidR="00B62B2A" w:rsidRDefault="00B62B2A" w:rsidP="00B62B2A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Аналіз дзвінків на «Національну «гарячу» лінію свідчить, що з браком уваги та контакту з близькими людьми стикаються різні діти: з різних за достатком і статусом родин, різного віку і статі і це дає </w:t>
      </w:r>
      <w:r>
        <w:rPr>
          <w:rFonts w:ascii="Arial" w:hAnsi="Arial" w:cs="Arial"/>
          <w:color w:val="000000"/>
          <w:sz w:val="21"/>
          <w:szCs w:val="21"/>
        </w:rPr>
        <w:lastRenderedPageBreak/>
        <w:t>підстави зробити висновок про те, що суспільство досі на знає прав дитини і не вміє реагувати на їх порушення.</w:t>
      </w:r>
    </w:p>
    <w:p w:rsidR="00B62B2A" w:rsidRDefault="00B62B2A" w:rsidP="00B62B2A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Національна Дитяча «гаряча лінія» - для дітей та про дітей. Це означає, що «гаряча лінія» приймає дзвінки від дітей та від дорослих, чиї запити стосуються дітей. Дитяча «гаряча лінія» функціонує за безкоштовним номером 0-800-500-225 (безкоштовний з мобільних та стаціонарних номерів телефонів по всій території України). А з 1 червня 2017 року Національна дитяча «гаряча лінія» відкрила короткий номер 116 111 (безкоштовний для абонентів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КиївСтар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Лайфселл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), що покращило доступ дітей до отримання консультацій. Даний номер телефону запроваджений у 26 європейських країнах як узгоджений номер допомоги дітям по телефону.</w:t>
      </w:r>
    </w:p>
    <w:p w:rsidR="00B62B2A" w:rsidRDefault="00B62B2A" w:rsidP="00B62B2A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Лінія є абсолютно безкоштовною, анонімною та конфіденційною.</w:t>
      </w:r>
    </w:p>
    <w:p w:rsidR="00B62B2A" w:rsidRDefault="00B62B2A" w:rsidP="00B62B2A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Національній дитячій "гарячій лінії консультують компетентні у дитячих питаннях психологи, юристи соціальні працівники та соціальні педагоги. Коло питань, з яких надаються консультації, досить широке і було сформовано на основі отримуваних запитів від абонентів. Основні теми, з яких консультують на Національній дитячій «гарячій лінії», - насильство над дітьми та жорстоке поводження з ними у сім’ї та з боку оточення, психологічні проблеми, негаразди у стосунках з дорослими та однолітками, майнові права дітей, питання встановлення опіки, а також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булінг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безпека в Інтернеті.</w:t>
      </w:r>
    </w:p>
    <w:p w:rsidR="00B62B2A" w:rsidRDefault="00B62B2A" w:rsidP="00B62B2A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Дитяча «гаряча лінія» працює по будням з 12 до 20 години та в суботу з 12 до 16 години.</w:t>
      </w:r>
    </w:p>
    <w:p w:rsidR="00B62B2A" w:rsidRDefault="00B62B2A" w:rsidP="00B62B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Просимо поширити серед учасників навчально-виховного процесу інформацію та розмістити на сайтах навчальних закладів електронні банери Національної дитячої «гарячої» лінії: Посилання для розміщення банеру: </w:t>
      </w:r>
      <w:hyperlink r:id="rId6" w:history="1"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http://la-strada.org.ua/</w:t>
        </w:r>
      </w:hyperlink>
      <w:r>
        <w:rPr>
          <w:rFonts w:ascii="Arial" w:hAnsi="Arial" w:cs="Arial"/>
          <w:color w:val="000000"/>
          <w:sz w:val="21"/>
          <w:szCs w:val="21"/>
        </w:rPr>
        <w:t>, </w:t>
      </w:r>
      <w:hyperlink r:id="rId7" w:history="1"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http://la-strada.org.ua/ndgl_116111.gif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B62B2A" w:rsidRDefault="00B62B2A" w:rsidP="00B62B2A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2.Україна є країною походження, транзиту та призначення торгівлі чоловіками, жінками та дітьми. Зростає також проблема внутрішньої торгівлі людьми. За даними дослідження, проведеного на замовлення Представництва в Україні Міжнародної організації з міграції‚ з 1991 року понад 160 000 мігрантів постраждали від торгівлі людьми, що робить Україну однією з основних країн походження постраждалих від сучасного рабства в Європі.</w:t>
      </w:r>
    </w:p>
    <w:p w:rsidR="00B62B2A" w:rsidRDefault="00B62B2A" w:rsidP="00B62B2A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Згідно інформації відділу ювенальної превенції Національної поліції в Україні за 6 місяців 2017 року 11 дітей постраждали від потрапляння в ситуацію торгівлі людьми (ст.149 ККУ), 40 дітей - від насильницького задоволення статевої пристрасті неприродним способом (ст.153 ККУ); постраждала 21 дитина‚ яка не досягла статевої зрілості, від статевих зносин із дорослими (ст.153 ККУ); вчинено 75 злочинів щодо розбещення неповнолітніх (ст. 156 ККУ) та 2 малолітні дитини використовувались для заняття жебрацтвом ст.150-1ККУ) тощо.</w:t>
      </w:r>
    </w:p>
    <w:p w:rsidR="00B62B2A" w:rsidRDefault="00B62B2A" w:rsidP="00B62B2A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Своєрідною відповіддю на нагальні потреби держави щодо запобігання та протидії торгівлі людьми як деструкції у розвитку суспільства, впровадження варіативної програми виховної роботи з питань протидії торгівлі дітьми «Особиста гідність. Безпека життя. Громадянська позиція» для загальноосвітніх навчальних закладів, що є одним із завдань Державної соціальної програми протидії торгівлі людьми на період до 2020 року (п. 2.7, 2.9) та планом заходів Міністерства освіти і науки України щодо запобігання торгівлі людьми до 2020 року (наказ № 405 від 8 квітня 2016).</w:t>
      </w:r>
    </w:p>
    <w:p w:rsidR="00B62B2A" w:rsidRDefault="00B62B2A" w:rsidP="00B62B2A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 метою проведення ефективної і педагогічно-унормованої діяльності щодо профілактики та запобігання торгівлі людьми рекомендуємо у 2017/2018 навчальному році впроваджувати гуртки та факультативні заняття для учнів 7-10 класів, які схвалені для використання в загальноосвітніх навчальних закладах Науково-методичною комісією з проблем виховання дітей та учнівської молоді Міністерства освіти і науки України (протокол № 3 від 16.06.2017) та Вченою радою Інституту проблем виховання НАПН України (протокол № 6 від 29 травня 2017 р.)</w:t>
      </w:r>
    </w:p>
    <w:p w:rsidR="00B62B2A" w:rsidRDefault="00B62B2A" w:rsidP="00B62B2A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Програма гуртків та факультативів «Особиста гідність. Безпека життя. Громадянська позиція» для учнів 7-10 класів розроблені на основі матеріалів зазначеної вище комплексної програми і є другим етапом у формуванні таких життєвих навичок, як спілкування, прийняття рішень, критичне мислення, управління емоціями, стресами та конфліктними ситуаціями, формування цінностей та набуття відповідних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компетентностей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(Автор-упорядник: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Петрочко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Ж. В., д. п. наук, професор, заступник директора з науково-експериментальної роботи Інституту проблем виховання НАПН України).</w:t>
      </w:r>
    </w:p>
    <w:p w:rsidR="00B62B2A" w:rsidRDefault="00B62B2A" w:rsidP="00B62B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Електронний ресурс зазначених матеріалів за посиланням: </w:t>
      </w:r>
      <w:hyperlink r:id="rId8" w:history="1"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http://mon.gov.ua/activity/education/pozashkilna-osvita/vyhovna-robota/protidiya-torgivli-lyudmi.html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B62B2A" w:rsidRDefault="00B62B2A" w:rsidP="00B62B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 проведенні просвітницької роботи з питань запобігання торгівлі людьми доцільно використовувати посібник «Соціально-педагогічні основи захисту прав людини, протиді`1` торгівлі людьми та експлуатації дітей», який включає курс за вибором/факультатив «Запобігання торгівлі людьми» для учнів 9-11(12) класів навчальних закладів, учнів професійно-технічних навчальних закладів та курс за вибором/факультатив «Знай та захищай свої права» для учнів 7-9 класів навчальних закладів).Матеріали схвалені для використання у загальноосвітніх навчальних закладах Науково-методичною комісією з проблем виховання дітей та учнівської молоді Міністерства освіти і науки України протокол № 3 від 4.10.2016. Матеріали можна знайти у вільному доступі на сайті ГО «Ла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Страда-Украіна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 </w:t>
      </w:r>
      <w:hyperlink r:id="rId9" w:history="1"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www.la-strada.org.ua</w:t>
        </w:r>
      </w:hyperlink>
      <w:r>
        <w:rPr>
          <w:rFonts w:ascii="Arial" w:hAnsi="Arial" w:cs="Arial"/>
          <w:color w:val="000000"/>
          <w:sz w:val="21"/>
          <w:szCs w:val="21"/>
        </w:rPr>
        <w:t>, або на сторінці в Фейсбук </w:t>
      </w:r>
      <w:hyperlink r:id="rId10" w:history="1"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https://www.facebook.com/lastradaukraine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B62B2A" w:rsidRDefault="00B62B2A" w:rsidP="00B62B2A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Сучасні діти і підлітки значно випереджають своїх батьків в умінні користуватися комп’ютером, зокрема Інтернетом, і годинами спілкуються в соціальних мережах. Інтернет став невід’ємною частиною їхнього життя. Він може бути дуже корисним для загального розвитку, навчання, творчого самовираження і пошуку однодумців. Але він може бути й небезпечним: через малий життєвий досвід юні користувачі не завжди в змозі розпізнати ризики, які можуть трапитися їм у мережі.</w:t>
      </w:r>
    </w:p>
    <w:p w:rsidR="00B62B2A" w:rsidRDefault="00B62B2A" w:rsidP="00B62B2A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Зосереджуємо увагу на загрозливій ситуації, яка почала поширюватися в Україні в дитячому середовищі з середини 2016 року. Йдеться насамперед про так звані «смертельні квести»‚ які ширилися соціальною мережею «ВКонтакте». Варто розуміти‚ що поширення цих небезпечних квестів відображає проблеми, які є не лише в дітей, а й y суспільстві загалом, насамперед у ставленні дорослих до дітей. Нерозуміння, неувага до дитячого життя, брак часу, байдужість до проблем, які хвилюють дітей, зверхність або, навпаки, надмірний контроль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гіперопіка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накопичуючись, призводять до формування закритості дитини, відчуття в неї самотності та непотрібності, пошуку можливих виходів із складних життєвих ситуацій відповідно до її рішень та можливостей. Один з таких шляхів, відомий з давних часів, - втеча від реальності, який у наші часи спростився завдяки створенню віртуального світу, віртуальних друзів, віртуального спілкування та віртуального життя, в якому і смерть здається віртуальною.</w:t>
      </w:r>
    </w:p>
    <w:p w:rsidR="00B62B2A" w:rsidRDefault="00B62B2A" w:rsidP="00B62B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 метою запобігання втягненню дітей у небезпечні квести, підвищенню рівня педагогічної майстерності та компетентності у роботі з дітьми та батьками, в розмовах на такі непрості теми, як цінність людського життя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суїцидальна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поведінка, повага до себе та до інших, розуміння та вміння говорити про власні проблеми рекомендуємо скористатися методичними рекомендаціями: «Небезпечні квести для дітей: профілактика залучення»(схвалені для використання в загальноосвітніх навчальних закладах Науково-методичною комісією з проблем виховання дітей та учнівської молоді Міністерства освіти і науки України (протокол №3 від 16.06.2017). Матеріали можна знайти у вільному доступі на сайті ГО «Ла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Страда-Украіна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 </w:t>
      </w:r>
      <w:hyperlink r:id="rId11" w:history="1"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www.la-strada.org.ua</w:t>
        </w:r>
      </w:hyperlink>
      <w:r>
        <w:rPr>
          <w:rFonts w:ascii="Arial" w:hAnsi="Arial" w:cs="Arial"/>
          <w:color w:val="000000"/>
          <w:sz w:val="21"/>
          <w:szCs w:val="21"/>
        </w:rPr>
        <w:t>, або на сторінці в Фейсбук </w:t>
      </w:r>
      <w:hyperlink r:id="rId12" w:history="1"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www.facebook.com/lastradaukraine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B62B2A" w:rsidRDefault="00B62B2A" w:rsidP="00B62B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Особливої уваги педагогічних колективів та батьківської громадськості потребують питання профілактики девіантної поведінки, правопорушень та злочинності серед неповнолітніх. Не дивлячись на те, що за 6 місяців 2017 року підрозділами ювенальної превенції Національної поліції України зареєстровано зменшення на 4,6% кримінальних правопорушень y порівнянні із аналогічним періодом 2016 року, вчинених дітьми та за їх участю, статистика цих правопорушень невтішна. Зокрема, дітьми та за їх участю вчинено: 1816 тяжких та особливо тяжких злочинів; 19 умисних вбивств, 8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згвалтувань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 33 грабежі та 89 неповнолітніх притягнуті до відповідальності за незаконний обіг наркотиків тощо. Звертаємо увагу, що 60,8 % від загальної кількості кримінальних правопорушень, вчинених дітьми та за їх участю, складають крадіжки (2 248). Статистична інформація Національної поліції України додається (</w:t>
      </w:r>
      <w:hyperlink r:id="rId13" w:history="1"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додаток 2</w:t>
        </w:r>
      </w:hyperlink>
      <w:r>
        <w:rPr>
          <w:rFonts w:ascii="Arial" w:hAnsi="Arial" w:cs="Arial"/>
          <w:color w:val="000000"/>
          <w:sz w:val="21"/>
          <w:szCs w:val="21"/>
        </w:rPr>
        <w:t>).</w:t>
      </w:r>
    </w:p>
    <w:p w:rsidR="00B62B2A" w:rsidRDefault="00B62B2A" w:rsidP="00B62B2A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Аналіз правопорушень, вчинених неповнолітніми, свідчить, що основними причинами протиправних дій є недостатній життєвий досвід, схильність до наслідування дорослих, не завжди позитивний вплив на дітей оточуючого середовища, намагання звільнитися від опіки з боку батьків, віра в безкарність, недостатній рівень самокритичного ставлення до власних вчинків, хибна оцінка складних життєвих ситуацій тощо.</w:t>
      </w:r>
    </w:p>
    <w:p w:rsidR="00B62B2A" w:rsidRDefault="00B62B2A" w:rsidP="00B62B2A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Враховуючи зазначене вище, Міністерство рекомендує впроваджувати в загальноосвітніх навчальних закладах факультативні курси, які орієнтовані на підсилення психологічної складової у вихованні дітей та учнівської молоді.</w:t>
      </w:r>
    </w:p>
    <w:p w:rsidR="00B62B2A" w:rsidRDefault="00B62B2A" w:rsidP="00B62B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організаційно-методичного забезпечення викладання факультативних курсів працівниками психологічної служби Міністерство надсилало (лист від 06.06.2013 </w:t>
      </w:r>
      <w:hyperlink r:id="rId14" w:history="1"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№ 1/9-413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) переліки програм факультативних курсів, курсів за вибором та спецкурсів для застосування в роботі працівників </w:t>
      </w:r>
      <w:r>
        <w:rPr>
          <w:rFonts w:ascii="Arial" w:hAnsi="Arial" w:cs="Arial"/>
          <w:color w:val="000000"/>
          <w:sz w:val="21"/>
          <w:szCs w:val="21"/>
        </w:rPr>
        <w:lastRenderedPageBreak/>
        <w:t>психологічної служби, рекомендованих для використання в початковій школі та електронні переліки програм факультативних курсів для застосування в роботі працівників психологічної служби, які схвалені для використання у загальноосвітніх навчальних закладах науково-методичною комісією з проблем виховання дітей та учнівської молоді Науково-методичної ради з питань освіти Міністерства освіти і науки України (лист ІІТЗО №14.1/12-Г-165 від 15.05.2013 р.). Зміст програм представлений у варіантах з кількістю 17, 35, 52 та 70 годин, які реалізуються за рахунок годин варіативної складової навчальних планів загальноосвітніх навчальних закладів.</w:t>
      </w:r>
    </w:p>
    <w:p w:rsidR="00B62B2A" w:rsidRDefault="00B62B2A" w:rsidP="00B62B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Зазначений перелік програм розміщений на сайтах: </w:t>
      </w:r>
      <w:hyperlink r:id="rId15" w:history="1"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www.mon.gov.ua</w:t>
        </w:r>
      </w:hyperlink>
      <w:r>
        <w:rPr>
          <w:rFonts w:ascii="Arial" w:hAnsi="Arial" w:cs="Arial"/>
          <w:color w:val="000000"/>
          <w:sz w:val="21"/>
          <w:szCs w:val="21"/>
        </w:rPr>
        <w:t>, </w:t>
      </w:r>
      <w:hyperlink r:id="rId16" w:history="1"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www.psyua.com.ua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B62B2A" w:rsidRDefault="00B62B2A" w:rsidP="00B62B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Ha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допомогу педагогічним працівникам, які працюють із дітьми групи «ризику», корисними будуть матеріали, розміщеними на інформаційній онлайн-платформі «Центр знань», яка створена в рамках проекту Українського інституту соціальних досліджень ім. О. Яременка спільно із МБФ «СНІД Фонд Схід-Захід» за технічної підтримки Дитячого Фонду ООН (ЮНІСЕФ) </w:t>
      </w:r>
      <w:hyperlink r:id="rId17" w:history="1"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http://knowledge.org.ua/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B62B2A" w:rsidRDefault="00B62B2A" w:rsidP="00B62B2A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Державною установою «Український моніторинговий та медичний центр з наркотиків та алкоголю» Міністерства охорони здоров’я України підготовлено Національний звіт щодо наркотичної ситуації в Україні, в якому зазначається, що загальна кількість підлітків груп ризику, з урахуванням оновлених даних за 2015 р., оцінюється у 129 000 осіб віком від 10 до 19 років включно. Діти все більше потрапляють до груп ризику інфікування ВІЛ/ СНІДом, і зусилля, що робляться з їх захисту, все ще не достатні.</w:t>
      </w:r>
    </w:p>
    <w:p w:rsidR="00B62B2A" w:rsidRDefault="00B62B2A" w:rsidP="00B62B2A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 зв’язку із зазначеним вище рекомендуємо продовжувати розроблення сучасних інформаційно-освітніх програм первинної профілактики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залежностей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шкідливих звичок, включаючи заходи щодо залучення дітей та молоді до спорту, творчості, мистецтва, інших громадських заходів із пропаганди здорового способу життя та забезпечити подальше впровадження інформаційно-освітньої протиалкогольної програми «Сімейна розмова» для учнів 7-8 класів загальноосвітніх навчальних закладів.</w:t>
      </w:r>
    </w:p>
    <w:p w:rsidR="00B62B2A" w:rsidRDefault="00B62B2A" w:rsidP="00B62B2A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 те, як вчителям і батькам цікаво й зрозуміло донести підліткам інформацію про здоровий спосіб життя і безпечну поведінку - на порталі профілактичної освіти www.autta.org.ua.</w:t>
      </w:r>
    </w:p>
    <w:p w:rsidR="00B62B2A" w:rsidRDefault="00B62B2A" w:rsidP="00B62B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Міністерство скеровує увагу та надсилає перелік важливих пам’ятних та ювілейних дат та міжнародних пам’ятних та ювілейних дат з проханням передбачити заходи у планах роботи навчальних закладів у 2017/2018 навчальному році (</w:t>
      </w:r>
      <w:hyperlink r:id="rId18" w:history="1"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додаток 3</w:t>
        </w:r>
      </w:hyperlink>
      <w:r>
        <w:rPr>
          <w:rFonts w:ascii="Arial" w:hAnsi="Arial" w:cs="Arial"/>
          <w:color w:val="000000"/>
          <w:sz w:val="21"/>
          <w:szCs w:val="21"/>
        </w:rPr>
        <w:t>).</w:t>
      </w:r>
    </w:p>
    <w:p w:rsidR="00F55E42" w:rsidRDefault="00F55E42"/>
    <w:sectPr w:rsidR="00F55E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2A"/>
    <w:rsid w:val="00B62B2A"/>
    <w:rsid w:val="00F5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AE885-DF47-46EA-9C16-7D2CB237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62B2A"/>
    <w:rPr>
      <w:b/>
      <w:bCs/>
    </w:rPr>
  </w:style>
  <w:style w:type="character" w:styleId="a5">
    <w:name w:val="Hyperlink"/>
    <w:basedOn w:val="a0"/>
    <w:uiPriority w:val="99"/>
    <w:semiHidden/>
    <w:unhideWhenUsed/>
    <w:rsid w:val="00B6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ua/activity/education/pozashkilna-osvita/vyhovna-robota/protidiya-torgivli-lyudmi.html" TargetMode="External"/><Relationship Id="rId13" Type="http://schemas.openxmlformats.org/officeDocument/2006/relationships/hyperlink" Target="https://ru.osvita.ua/doc/files/news/568/56857/list_1_9-413.pdf" TargetMode="External"/><Relationship Id="rId18" Type="http://schemas.openxmlformats.org/officeDocument/2006/relationships/hyperlink" Target="https://ru.osvita.ua/doc/files/news/568/56857/list_1_9-413_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-strada.org.ua/ndgl_116111.gif" TargetMode="External"/><Relationship Id="rId12" Type="http://schemas.openxmlformats.org/officeDocument/2006/relationships/hyperlink" Target="http://www.facebook.com/lastradaukraine" TargetMode="External"/><Relationship Id="rId17" Type="http://schemas.openxmlformats.org/officeDocument/2006/relationships/hyperlink" Target="http://knowledge.org.u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syua.com.u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a-strada.org.ua/" TargetMode="External"/><Relationship Id="rId11" Type="http://schemas.openxmlformats.org/officeDocument/2006/relationships/hyperlink" Target="http://www.la-strada.org.ua/" TargetMode="External"/><Relationship Id="rId5" Type="http://schemas.openxmlformats.org/officeDocument/2006/relationships/hyperlink" Target="http://www.la-strada.org.ua/ucp_mod_library_showcategory_65.html" TargetMode="External"/><Relationship Id="rId15" Type="http://schemas.openxmlformats.org/officeDocument/2006/relationships/hyperlink" Target="http://www.mon.gov.ua/" TargetMode="External"/><Relationship Id="rId10" Type="http://schemas.openxmlformats.org/officeDocument/2006/relationships/hyperlink" Target="https://www.facebook.com/lastradaukrain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u.osvita.ua/legislation/Ser_osv/54258/" TargetMode="External"/><Relationship Id="rId9" Type="http://schemas.openxmlformats.org/officeDocument/2006/relationships/hyperlink" Target="http://www.la-strada.org.ua/" TargetMode="External"/><Relationship Id="rId14" Type="http://schemas.openxmlformats.org/officeDocument/2006/relationships/hyperlink" Target="http://osvita.ua/legislation/Ser_osv/36166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10680</Words>
  <Characters>6088</Characters>
  <Application>Microsoft Office Word</Application>
  <DocSecurity>0</DocSecurity>
  <Lines>50</Lines>
  <Paragraphs>33</Paragraphs>
  <ScaleCrop>false</ScaleCrop>
  <Company/>
  <LinksUpToDate>false</LinksUpToDate>
  <CharactersWithSpaces>16735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2</cp:revision>
  <dcterms:created xsi:type="dcterms:W3CDTF">2017-11-17T13:22:00Z</dcterms:created>
  <dcterms:modified xsi:type="dcterms:W3CDTF">2017-11-17T13:23:00Z</dcterms:modified>
</cp:coreProperties>
</file>